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bookmarkStart w:id="0" w:name="_Hlk45814771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781247" cy="1251000"/>
                <wp:effectExtent l="0" t="0" r="63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rcRect l="7340" t="13895" r="7323" b="0"/>
                        <a:stretch/>
                      </pic:blipFill>
                      <pic:spPr bwMode="auto">
                        <a:xfrm>
                          <a:off x="0" y="0"/>
                          <a:ext cx="2815300" cy="12663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9.0pt;height:98.5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pStyle w:val="606"/>
        <w:jc w:val="center"/>
        <w:spacing w:before="240" w:line="360" w:lineRule="auto"/>
      </w:pPr>
      <w:r>
        <w:rPr>
          <w:rFonts w:ascii="Segoe UI" w:hAnsi="Segoe UI" w:cs="Segoe UI"/>
          <w:b/>
          <w:color w:val="086d41"/>
        </w:rPr>
        <w:t xml:space="preserve">Practical guide on determining capacity to participate in the opt-out process</w:t>
      </w:r>
      <w:bookmarkEnd w:id="0"/>
      <w:r/>
    </w:p>
    <w:tbl>
      <w:tblPr>
        <w:tblStyle w:val="611"/>
        <w:tblW w:w="5000" w:type="pct"/>
        <w:tblCellSpacing w:w="2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606"/>
        <w:gridCol w:w="3561"/>
        <w:gridCol w:w="3449"/>
      </w:tblGrid>
      <w:tr>
        <w:trPr>
          <w:tblCellSpacing w:w="20" w:type="dxa"/>
          <w:trHeight w:val="725"/>
        </w:trPr>
        <w:tc>
          <w:tcPr>
            <w:shd w:val="clear" w:color="auto" w:fill="eaf1dd" w:themeFill="accent3" w:themeFillTint="33"/>
            <w:tcW w:w="1329" w:type="pct"/>
            <w:vMerge w:val="restar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Specific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 a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bility required to participate in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o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pt-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o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ut Consent Process</w:t>
            </w:r>
            <w:r/>
          </w:p>
        </w:tc>
        <w:tc>
          <w:tcPr>
            <w:gridSpan w:val="2"/>
            <w:shd w:val="clear" w:color="auto" w:fill="eaf1dd" w:themeFill="accent3" w:themeFillTint="33"/>
            <w:tcW w:w="360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tabs>
                <w:tab w:val="left" w:pos="2150" w:leader="none"/>
                <w:tab w:val="center" w:pos="3041" w:leader="none"/>
              </w:tabs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How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to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a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ssess in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c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l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inical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c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onsult</w:t>
            </w:r>
            <w:r/>
          </w:p>
        </w:tc>
      </w:tr>
      <w:tr>
        <w:trPr>
          <w:tblCellSpacing w:w="20" w:type="dxa"/>
          <w:trHeight w:val="725"/>
        </w:trPr>
        <w:tc>
          <w:tcPr>
            <w:shd w:val="clear" w:color="auto" w:fill="eaf1dd" w:themeFill="accent3" w:themeFillTint="33"/>
            <w:tcW w:w="1329" w:type="pct"/>
            <w:vMerge w:val="continue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r>
            <w:r/>
          </w:p>
        </w:tc>
        <w:tc>
          <w:tcPr>
            <w:shd w:val="clear" w:color="auto" w:fill="eaf1dd" w:themeFill="accent3" w:themeFillTint="33"/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tabs>
                <w:tab w:val="left" w:pos="2150" w:leader="none"/>
                <w:tab w:val="center" w:pos="3041" w:leader="none"/>
              </w:tabs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Elements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from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p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atient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and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i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nformant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h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istory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t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asking</w:t>
            </w:r>
            <w:r/>
          </w:p>
        </w:tc>
        <w:tc>
          <w:tcPr>
            <w:shd w:val="clear" w:color="auto" w:fill="eaf1dd" w:themeFill="accent3" w:themeFillTint="33"/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tabs>
                <w:tab w:val="left" w:pos="2150" w:leader="none"/>
                <w:tab w:val="center" w:pos="3041" w:leader="none"/>
              </w:tabs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Elements from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c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ognitive 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a</w:t>
            </w:r>
            <w:r>
              <w:rPr>
                <w:rFonts w:ascii="Segoe UI" w:hAnsi="Segoe UI" w:cs="Segoe UI"/>
                <w:b/>
                <w:bCs/>
                <w:color w:val="262626" w:themeColor="text1" w:themeTint="D9"/>
                <w:sz w:val="24"/>
                <w:szCs w:val="24"/>
              </w:rPr>
              <w:t xml:space="preserve">ssessment</w:t>
            </w:r>
            <w:r/>
          </w:p>
        </w:tc>
      </w:tr>
      <w:tr>
        <w:trPr>
          <w:tblCellSpacing w:w="20" w:type="dxa"/>
          <w:trHeight w:val="990"/>
        </w:trPr>
        <w:tc>
          <w:tcPr>
            <w:tcW w:w="132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/>
            <w:bookmarkStart w:id="1" w:name="_GoBack"/>
            <w:r/>
            <w:bookmarkEnd w:id="1"/>
            <w:r>
              <w:rPr>
                <w:rFonts w:ascii="Segoe UI" w:hAnsi="Segoe UI" w:cs="Segoe UI"/>
                <w:color w:val="262626" w:themeColor="text1" w:themeTint="D9"/>
              </w:rPr>
              <w:t xml:space="preserve">Access materials received in postal mail</w:t>
            </w:r>
            <w:r/>
          </w:p>
        </w:tc>
        <w:tc>
          <w:tcPr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Is patient still collecting and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opening their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mail?</w:t>
            </w:r>
            <w:r/>
          </w:p>
        </w:tc>
        <w:tc>
          <w:tcPr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Praxis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, Executive Function</w:t>
            </w:r>
            <w:r/>
          </w:p>
        </w:tc>
      </w:tr>
      <w:tr>
        <w:trPr>
          <w:tblCellSpacing w:w="20" w:type="dxa"/>
          <w:trHeight w:val="2297"/>
        </w:trPr>
        <w:tc>
          <w:tcPr>
            <w:tcW w:w="132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Read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, comprehend and retain information contained in a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two-page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Participant Explanatory Statement</w:t>
            </w:r>
            <w:r/>
          </w:p>
        </w:tc>
        <w:tc>
          <w:tcPr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What is the patient’s usual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ability with reading and comprehension,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including reading of documents received in postal mail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?</w:t>
            </w:r>
            <w:r/>
          </w:p>
        </w:tc>
        <w:tc>
          <w:tcPr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Language: Reading and Comprehension</w:t>
            </w:r>
            <w:r/>
          </w:p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Attention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and Concentration</w:t>
            </w:r>
            <w:r/>
          </w:p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Memory: Delayed Recall</w:t>
            </w:r>
            <w:r/>
          </w:p>
        </w:tc>
      </w:tr>
      <w:tr>
        <w:trPr>
          <w:tblCellSpacing w:w="20" w:type="dxa"/>
          <w:trHeight w:val="1625"/>
        </w:trPr>
        <w:tc>
          <w:tcPr>
            <w:tcW w:w="132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Apply information about registry participation to own circumstances and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make a decision</w:t>
            </w:r>
            <w:r/>
          </w:p>
        </w:tc>
        <w:tc>
          <w:tcPr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What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is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the patients’ current a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wareness of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their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own circumstances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and values?</w:t>
            </w:r>
            <w:r/>
          </w:p>
        </w:tc>
        <w:tc>
          <w:tcPr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Executive Function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 including abstraction</w:t>
            </w:r>
            <w:r/>
          </w:p>
        </w:tc>
      </w:tr>
      <w:tr>
        <w:trPr>
          <w:tblCellSpacing w:w="20" w:type="dxa"/>
        </w:trPr>
        <w:tc>
          <w:tcPr>
            <w:tcW w:w="132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Follow instructions on how to opt-out if so chosen</w:t>
            </w:r>
            <w:r/>
          </w:p>
        </w:tc>
        <w:tc>
          <w:tcPr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Can patient usually follow written instructions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?</w:t>
            </w:r>
            <w:r/>
          </w:p>
        </w:tc>
        <w:tc>
          <w:tcPr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Language: Comprehension</w:t>
            </w:r>
            <w:r/>
          </w:p>
        </w:tc>
      </w:tr>
      <w:tr>
        <w:trPr>
          <w:tblCellSpacing w:w="20" w:type="dxa"/>
        </w:trPr>
        <w:tc>
          <w:tcPr>
            <w:tcW w:w="132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Communicate a decision by phone call, email, or writing and sending on an opt-out form in postal mail</w:t>
            </w:r>
            <w:r/>
          </w:p>
        </w:tc>
        <w:tc>
          <w:tcPr>
            <w:tcW w:w="183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Can the patient still use a telephone to dial an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unfamiliar number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, or use a computer to send email, or return materials in the postal mail?</w:t>
            </w:r>
            <w:r/>
          </w:p>
        </w:tc>
        <w:tc>
          <w:tcPr>
            <w:tcW w:w="1749" w:type="pct"/>
            <w:textDirection w:val="lrTb"/>
            <w:noWrap w:val="false"/>
          </w:tcPr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Executive function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: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planning and sequencing,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and praxis</w:t>
            </w:r>
            <w:r/>
          </w:p>
          <w:p>
            <w:pPr>
              <w:jc w:val="center"/>
              <w:spacing w:before="240" w:line="276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</w:rPr>
              <w:t xml:space="preserve">Language: Speech or </w:t>
            </w:r>
            <w:r>
              <w:rPr>
                <w:rFonts w:ascii="Segoe UI" w:hAnsi="Segoe UI" w:cs="Segoe UI"/>
                <w:color w:val="262626" w:themeColor="text1" w:themeTint="D9"/>
              </w:rPr>
              <w:t xml:space="preserve">writing</w:t>
            </w:r>
            <w:r/>
          </w:p>
        </w:tc>
      </w:tr>
    </w:tbl>
    <w:p>
      <w:r/>
      <w:r/>
    </w:p>
    <w:sectPr>
      <w:footnotePr/>
      <w:endnotePr/>
      <w:type w:val="nextPage"/>
      <w:pgSz w:w="11900" w:h="16840" w:orient="portrait"/>
      <w:pgMar w:top="284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7"/>
    <w:link w:val="13"/>
    <w:uiPriority w:val="9"/>
    <w:rPr>
      <w:rFonts w:ascii="Arial" w:hAnsi="Arial" w:eastAsia="Arial" w:cs="Arial"/>
      <w:sz w:val="40"/>
      <w:szCs w:val="40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7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7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7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7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7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7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after="160" w:line="259" w:lineRule="auto"/>
    </w:pPr>
    <w:rPr>
      <w:rFonts w:eastAsiaTheme="minorHAnsi"/>
      <w:sz w:val="22"/>
      <w:szCs w:val="22"/>
    </w:rPr>
  </w:style>
  <w:style w:type="paragraph" w:styleId="606">
    <w:name w:val="Heading 2"/>
    <w:basedOn w:val="605"/>
    <w:next w:val="605"/>
    <w:link w:val="610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4bacc6" w:themeColor="accent5"/>
      <w:sz w:val="26"/>
      <w:szCs w:val="26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 w:customStyle="1">
    <w:name w:val="Heading 2 Char"/>
    <w:basedOn w:val="607"/>
    <w:link w:val="606"/>
    <w:uiPriority w:val="9"/>
    <w:rPr>
      <w:rFonts w:asciiTheme="majorHAnsi" w:hAnsiTheme="majorHAnsi" w:eastAsiaTheme="majorEastAsia" w:cstheme="majorBidi"/>
      <w:color w:val="4bacc6" w:themeColor="accent5"/>
      <w:sz w:val="26"/>
      <w:szCs w:val="26"/>
    </w:rPr>
  </w:style>
  <w:style w:type="table" w:styleId="611">
    <w:name w:val="Table Grid"/>
    <w:basedOn w:val="608"/>
    <w:uiPriority w:val="39"/>
    <w:rPr>
      <w:rFonts w:eastAsiaTheme="minorHAnsi"/>
      <w:sz w:val="20"/>
      <w:szCs w:val="20"/>
      <w:lang w:eastAsia="en-A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12">
    <w:name w:val="Balloon Text"/>
    <w:basedOn w:val="605"/>
    <w:link w:val="6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3" w:customStyle="1">
    <w:name w:val="Balloon Text Char"/>
    <w:basedOn w:val="607"/>
    <w:link w:val="612"/>
    <w:uiPriority w:val="99"/>
    <w:semiHidden/>
    <w:rPr>
      <w:rFonts w:ascii="Segoe UI" w:hAnsi="Segoe UI" w:cs="Segoe UI" w:eastAsiaTheme="minorHAns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theme" Target="theme/theme1.xml"/><Relationship Id="rId10" Type="http://schemas.openxmlformats.org/officeDocument/2006/relationships/customXml" Target="../customXml/item2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95989C4824E4EAE0C94C5ABF93379" ma:contentTypeVersion="16" ma:contentTypeDescription="Create a new document." ma:contentTypeScope="" ma:versionID="764549228cc4abbe8c33c4bbda6d7fc8">
  <xsd:schema xmlns:xsd="http://www.w3.org/2001/XMLSchema" xmlns:xs="http://www.w3.org/2001/XMLSchema" xmlns:p="http://schemas.microsoft.com/office/2006/metadata/properties" xmlns:ns2="e0fe3986-a23c-41f2-9983-448b8f3fc071" xmlns:ns3="8461db83-3005-44b6-9f2a-2e24a412e39b" xmlns:ns4="f07d8113-1d44-46cb-baa5-a742d0650dfc" targetNamespace="http://schemas.microsoft.com/office/2006/metadata/properties" ma:root="true" ma:fieldsID="0957636fa44a1687e66368b7cf2ab21a" ns2:_="" ns3:_="" ns4:_="">
    <xsd:import namespace="e0fe3986-a23c-41f2-9983-448b8f3fc071"/>
    <xsd:import namespace="8461db83-3005-44b6-9f2a-2e24a412e39b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3986-a23c-41f2-9983-448b8f3fc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db83-3005-44b6-9f2a-2e24a412e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0a54367-df81-408a-9eb1-d0636333f5b4}" ma:internalName="TaxCatchAll" ma:showField="CatchAllData" ma:web="8461db83-3005-44b6-9f2a-2e24a412e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20217-3A74-441C-B73D-293E677564D9}"/>
</file>

<file path=customXml/itemProps2.xml><?xml version="1.0" encoding="utf-8"?>
<ds:datastoreItem xmlns:ds="http://schemas.openxmlformats.org/officeDocument/2006/customXml" ds:itemID="{70C62ABC-15B5-43A3-A5AF-580FBB1228F5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Ward</dc:creator>
  <cp:keywords/>
  <dc:description/>
  <cp:lastModifiedBy>Anonymous</cp:lastModifiedBy>
  <cp:revision>4</cp:revision>
  <dcterms:created xsi:type="dcterms:W3CDTF">2021-06-03T00:18:00Z</dcterms:created>
  <dcterms:modified xsi:type="dcterms:W3CDTF">2023-05-23T06:01:07Z</dcterms:modified>
</cp:coreProperties>
</file>